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La Città metropolitana di Genova è un ente territoriale di area vasta istituito dalla legge 7 aprile 2014 n. 56 (“legge Delrio”) che ha dettato nuove disposizioni in materia di Città metropolitane, sulle Province, sulle Unioni e fusioni di Comuni.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  <w:t xml:space="preserve">E’ subentrata all’omonima Provincia dal 1° gennaio 2015 con il medesimo territorio composto da 67 Comuni. Dalla stessa data, il Sindaco del Comune capoluogo ha assunto anche le funzioni di Sindaco metropolitano.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La Città metropolitana persegue le seguenti finalità istituzionali di carattere generale: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cura dello sviluppo strategico del territorio metropolitano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promozione e gestione integrata dei servizi, delle infrastrutture e delle reti di comunicazione di interesse della Città metropolitana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cura delle relazioni istituzionali afferenti al proprio livello, ivi comprese quelle con le Città e le aree metropolitane europee.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La legge Delrio assegna alle Città metropolitane, oltre alle funzioni fondamentali delle Province, ulteriori e importanti competenze in materia di pianificazione strategica e territoriale, infrastrutture e reti di comunicazione, servizi di pubblico interesse in ambito metropolitano, sistemi coordinati di servizi pubblici d’intesa con i Comuni, mobilità e viabilità, sviluppo economico, informatizzazione e digitalizzazione.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Gli organi istituzionali della Città metropolitana sono: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il Sindaco metropolitano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il Consiglio metropolitano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la Conferenza metropolitana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